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EB932">
      <w:pPr>
        <w:spacing w:line="255" w:lineRule="auto"/>
        <w:rPr>
          <w:rFonts w:hint="eastAsia" w:ascii="Arial" w:eastAsia="宋体"/>
          <w:color w:val="auto"/>
          <w:sz w:val="21"/>
          <w:lang w:eastAsia="zh-CN"/>
        </w:rPr>
      </w:pPr>
    </w:p>
    <w:p w14:paraId="59961E7C">
      <w:pPr>
        <w:spacing w:line="255" w:lineRule="auto"/>
        <w:rPr>
          <w:rFonts w:ascii="Arial"/>
          <w:color w:val="auto"/>
          <w:sz w:val="21"/>
        </w:rPr>
      </w:pPr>
    </w:p>
    <w:p w14:paraId="077D898E">
      <w:pPr>
        <w:spacing w:line="255" w:lineRule="auto"/>
        <w:rPr>
          <w:rFonts w:ascii="Arial"/>
          <w:color w:val="auto"/>
          <w:sz w:val="21"/>
        </w:rPr>
      </w:pPr>
    </w:p>
    <w:p w14:paraId="5C99EAAE">
      <w:pPr>
        <w:jc w:val="center"/>
        <w:rPr>
          <w:rFonts w:hint="eastAsia" w:ascii="微软雅黑" w:hAnsi="微软雅黑" w:eastAsia="微软雅黑" w:cs="微软雅黑"/>
          <w:b/>
          <w:bCs/>
          <w:color w:val="376092" w:themeColor="accent1" w:themeShade="BF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376092" w:themeColor="accent1" w:themeShade="BF"/>
          <w:sz w:val="28"/>
          <w:szCs w:val="28"/>
          <w:lang w:val="en-US" w:eastAsia="zh-CN"/>
        </w:rPr>
        <w:t>中国医院6S精益管理应用成果评分表（2026版）</w:t>
      </w:r>
    </w:p>
    <w:tbl>
      <w:tblPr>
        <w:tblStyle w:val="5"/>
        <w:tblW w:w="11091" w:type="dxa"/>
        <w:tblInd w:w="4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703"/>
        <w:gridCol w:w="580"/>
        <w:gridCol w:w="3192"/>
        <w:gridCol w:w="631"/>
        <w:gridCol w:w="4940"/>
        <w:gridCol w:w="615"/>
      </w:tblGrid>
      <w:tr w14:paraId="4700F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30" w:type="dxa"/>
            <w:textDirection w:val="tbRlV"/>
            <w:vAlign w:val="center"/>
          </w:tcPr>
          <w:p w14:paraId="25C51F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0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9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sz w:val="20"/>
                <w:szCs w:val="20"/>
              </w:rPr>
              <w:t>号</w:t>
            </w:r>
          </w:p>
        </w:tc>
        <w:tc>
          <w:tcPr>
            <w:tcW w:w="703" w:type="dxa"/>
            <w:vAlign w:val="center"/>
          </w:tcPr>
          <w:p w14:paraId="7CFD33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3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20"/>
                <w:szCs w:val="20"/>
              </w:rPr>
              <w:t>评审</w:t>
            </w:r>
          </w:p>
          <w:p w14:paraId="5B6D04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7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20"/>
                <w:szCs w:val="20"/>
              </w:rPr>
              <w:t>项目</w:t>
            </w:r>
          </w:p>
        </w:tc>
        <w:tc>
          <w:tcPr>
            <w:tcW w:w="3772" w:type="dxa"/>
            <w:gridSpan w:val="2"/>
            <w:vAlign w:val="center"/>
          </w:tcPr>
          <w:p w14:paraId="7D6082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405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20"/>
                <w:szCs w:val="20"/>
              </w:rPr>
              <w:t>评审要素</w:t>
            </w:r>
          </w:p>
        </w:tc>
        <w:tc>
          <w:tcPr>
            <w:tcW w:w="631" w:type="dxa"/>
            <w:textDirection w:val="tbRlV"/>
            <w:vAlign w:val="center"/>
          </w:tcPr>
          <w:p w14:paraId="76D4F5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0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sz w:val="20"/>
                <w:szCs w:val="20"/>
              </w:rPr>
              <w:t>分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9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sz w:val="20"/>
                <w:szCs w:val="20"/>
              </w:rPr>
              <w:t>值</w:t>
            </w:r>
          </w:p>
        </w:tc>
        <w:tc>
          <w:tcPr>
            <w:tcW w:w="4940" w:type="dxa"/>
            <w:vAlign w:val="center"/>
          </w:tcPr>
          <w:p w14:paraId="564981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191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sz w:val="20"/>
                <w:szCs w:val="20"/>
              </w:rPr>
              <w:t>扣分标准</w:t>
            </w:r>
          </w:p>
        </w:tc>
        <w:tc>
          <w:tcPr>
            <w:tcW w:w="615" w:type="dxa"/>
            <w:textDirection w:val="tbRlV"/>
            <w:vAlign w:val="center"/>
          </w:tcPr>
          <w:p w14:paraId="43EFC7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50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sz w:val="20"/>
                <w:szCs w:val="20"/>
              </w:rPr>
              <w:t>得 分</w:t>
            </w:r>
          </w:p>
        </w:tc>
      </w:tr>
      <w:tr w14:paraId="3A2EC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430" w:type="dxa"/>
            <w:vMerge w:val="restart"/>
            <w:tcBorders>
              <w:bottom w:val="nil"/>
            </w:tcBorders>
            <w:vAlign w:val="center"/>
          </w:tcPr>
          <w:p w14:paraId="0EB475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1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center"/>
          </w:tcPr>
          <w:p w14:paraId="2DBCB9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</w:pPr>
          </w:p>
          <w:p w14:paraId="379565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  <w:t>主题</w:t>
            </w:r>
          </w:p>
          <w:p w14:paraId="44BDFB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3"/>
                <w:sz w:val="22"/>
                <w:szCs w:val="22"/>
              </w:rPr>
              <w:t>确定</w:t>
            </w:r>
          </w:p>
          <w:p w14:paraId="00B095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(10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6"/>
                <w:sz w:val="14"/>
                <w:szCs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分)</w:t>
            </w:r>
          </w:p>
        </w:tc>
        <w:tc>
          <w:tcPr>
            <w:tcW w:w="3772" w:type="dxa"/>
            <w:gridSpan w:val="2"/>
            <w:vAlign w:val="center"/>
          </w:tcPr>
          <w:p w14:paraId="65B70A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09" w:right="104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选定主题应与上级方针目标相结合，或是本团队现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场急需解决的问题，且该主题适合采用“6S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</w:rPr>
              <w:t>”管理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工具解决。</w:t>
            </w:r>
          </w:p>
        </w:tc>
        <w:tc>
          <w:tcPr>
            <w:tcW w:w="631" w:type="dxa"/>
            <w:vAlign w:val="center"/>
          </w:tcPr>
          <w:p w14:paraId="0D861F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6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512FD7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1.主题与医院或科室发展需求缺乏关联，不具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有现实意义扣 0～2 分</w:t>
            </w:r>
          </w:p>
          <w:p w14:paraId="4AEB71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2.该主题的问题解决与“6S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”管理工具理念相关性弱扣 0～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分</w:t>
            </w:r>
          </w:p>
          <w:p w14:paraId="6C7E98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3.选题背景与理由不充分，或相关文献分析缺乏广度和深度扣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3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0～2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分</w:t>
            </w:r>
          </w:p>
        </w:tc>
        <w:tc>
          <w:tcPr>
            <w:tcW w:w="615" w:type="dxa"/>
            <w:vAlign w:val="center"/>
          </w:tcPr>
          <w:p w14:paraId="5A9AAA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1A1C8C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430" w:type="dxa"/>
            <w:vMerge w:val="continue"/>
            <w:tcBorders>
              <w:top w:val="nil"/>
            </w:tcBorders>
            <w:vAlign w:val="center"/>
          </w:tcPr>
          <w:p w14:paraId="47AA15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center"/>
          </w:tcPr>
          <w:p w14:paraId="33E80D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65F7C3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0" w:right="106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成立专门的推进与评价组织，负责工作推进和常态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化维持提升，推进与实施团队成员配置合理。</w:t>
            </w:r>
          </w:p>
        </w:tc>
        <w:tc>
          <w:tcPr>
            <w:tcW w:w="631" w:type="dxa"/>
            <w:vAlign w:val="center"/>
          </w:tcPr>
          <w:p w14:paraId="2AC56A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4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4F4DB4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1.相关推进和评价组织不健全或资源调配能力不匹配扣0～2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分</w:t>
            </w:r>
          </w:p>
          <w:p w14:paraId="047235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2.推进和实施团队成员配置不合理扣0～2 分</w:t>
            </w:r>
          </w:p>
        </w:tc>
        <w:tc>
          <w:tcPr>
            <w:tcW w:w="615" w:type="dxa"/>
            <w:vAlign w:val="center"/>
          </w:tcPr>
          <w:p w14:paraId="144635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1D8CA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430" w:type="dxa"/>
            <w:vMerge w:val="restart"/>
            <w:tcBorders>
              <w:bottom w:val="nil"/>
            </w:tcBorders>
            <w:vAlign w:val="center"/>
          </w:tcPr>
          <w:p w14:paraId="2659A5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2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center"/>
          </w:tcPr>
          <w:p w14:paraId="635504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</w:pPr>
          </w:p>
          <w:p w14:paraId="1FF344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  <w:t>现状</w:t>
            </w:r>
          </w:p>
          <w:p w14:paraId="4ECF597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  <w:t>把握</w:t>
            </w:r>
          </w:p>
          <w:p w14:paraId="0E8D55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6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9"/>
                <w:sz w:val="22"/>
                <w:szCs w:val="22"/>
              </w:rPr>
              <w:t>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9"/>
                <w:sz w:val="22"/>
                <w:szCs w:val="22"/>
              </w:rPr>
              <w:t>目</w:t>
            </w:r>
          </w:p>
          <w:p w14:paraId="1EEE15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 w:right="106" w:hanging="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6"/>
                <w:sz w:val="22"/>
                <w:szCs w:val="22"/>
              </w:rPr>
              <w:t>标设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定</w:t>
            </w:r>
          </w:p>
          <w:p w14:paraId="5A79C00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(15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6"/>
                <w:sz w:val="14"/>
                <w:szCs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分)</w:t>
            </w:r>
          </w:p>
        </w:tc>
        <w:tc>
          <w:tcPr>
            <w:tcW w:w="3772" w:type="dxa"/>
            <w:gridSpan w:val="2"/>
            <w:vAlign w:val="center"/>
          </w:tcPr>
          <w:p w14:paraId="4F3A09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5" w:right="104" w:hanging="15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通过现状调查与诊断，收集存在的问题或缺陷。可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6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以量化的问题用数据图形展示，不能量化的可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</w:rPr>
              <w:t>以用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</w:rPr>
              <w:t>图片展示。</w:t>
            </w:r>
          </w:p>
        </w:tc>
        <w:tc>
          <w:tcPr>
            <w:tcW w:w="631" w:type="dxa"/>
            <w:vAlign w:val="center"/>
          </w:tcPr>
          <w:p w14:paraId="326332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584CC0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7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3300BC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1.对于医院现场管理现状把握不清晰扣0～3分</w:t>
            </w:r>
          </w:p>
          <w:p w14:paraId="145B83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2.相关问题或缺陷的展示不充分扣 0～3分</w:t>
            </w:r>
          </w:p>
          <w:p w14:paraId="3A8E6C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3.相关图表应用不规范扣 0～1 分</w:t>
            </w:r>
          </w:p>
        </w:tc>
        <w:tc>
          <w:tcPr>
            <w:tcW w:w="615" w:type="dxa"/>
            <w:vAlign w:val="center"/>
          </w:tcPr>
          <w:p w14:paraId="3474F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5CE1F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2EFE4C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737ED0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1B0A54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3" w:right="104" w:hanging="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对关键问题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或缺掐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进行原因分析</w:t>
            </w:r>
          </w:p>
        </w:tc>
        <w:tc>
          <w:tcPr>
            <w:tcW w:w="631" w:type="dxa"/>
            <w:vAlign w:val="center"/>
          </w:tcPr>
          <w:p w14:paraId="1BA96B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4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42E509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1.原因分析不充分或逻辑不清晰扣0～3分</w:t>
            </w:r>
          </w:p>
          <w:p w14:paraId="0A449B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2.相关图表应用不规范扣 0～1 分</w:t>
            </w:r>
          </w:p>
        </w:tc>
        <w:tc>
          <w:tcPr>
            <w:tcW w:w="615" w:type="dxa"/>
            <w:vAlign w:val="center"/>
          </w:tcPr>
          <w:p w14:paraId="37B852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477FD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30" w:type="dxa"/>
            <w:vMerge w:val="continue"/>
            <w:tcBorders>
              <w:top w:val="nil"/>
            </w:tcBorders>
            <w:vAlign w:val="center"/>
          </w:tcPr>
          <w:p w14:paraId="5DE96D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center"/>
          </w:tcPr>
          <w:p w14:paraId="145DA2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1E51E5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0" w:right="65" w:firstLine="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明确推进目标及其衡量指标，拟定具体实施方案、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推进计划和风险预案。</w:t>
            </w:r>
          </w:p>
        </w:tc>
        <w:tc>
          <w:tcPr>
            <w:tcW w:w="631" w:type="dxa"/>
            <w:vAlign w:val="center"/>
          </w:tcPr>
          <w:p w14:paraId="11C6E7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4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23908D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1.推进目标及其衡量指标不明确扣 0～2分</w:t>
            </w:r>
          </w:p>
          <w:p w14:paraId="119A96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2.实施方案和推进计划不闭环或不落地扣 0～2 分</w:t>
            </w:r>
          </w:p>
        </w:tc>
        <w:tc>
          <w:tcPr>
            <w:tcW w:w="615" w:type="dxa"/>
            <w:vAlign w:val="center"/>
          </w:tcPr>
          <w:p w14:paraId="76CE15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102B5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430" w:type="dxa"/>
            <w:vMerge w:val="restart"/>
            <w:tcBorders>
              <w:bottom w:val="nil"/>
            </w:tcBorders>
            <w:vAlign w:val="center"/>
          </w:tcPr>
          <w:p w14:paraId="14D3D9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3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center"/>
          </w:tcPr>
          <w:p w14:paraId="1DC831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22"/>
                <w:szCs w:val="22"/>
              </w:rPr>
              <w:t>项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4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22"/>
                <w:szCs w:val="22"/>
              </w:rPr>
              <w:t>目</w:t>
            </w:r>
          </w:p>
          <w:p w14:paraId="4D9FCD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7"/>
                <w:sz w:val="22"/>
                <w:szCs w:val="22"/>
              </w:rPr>
              <w:t>实施</w:t>
            </w:r>
          </w:p>
          <w:p w14:paraId="3EDEC0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(50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6"/>
                <w:sz w:val="14"/>
                <w:szCs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分)</w:t>
            </w:r>
          </w:p>
        </w:tc>
        <w:tc>
          <w:tcPr>
            <w:tcW w:w="580" w:type="dxa"/>
            <w:vMerge w:val="restart"/>
            <w:tcBorders>
              <w:bottom w:val="nil"/>
            </w:tcBorders>
            <w:vAlign w:val="center"/>
          </w:tcPr>
          <w:p w14:paraId="4B896C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3DA409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  <w:lang w:val="en-US" w:eastAsia="zh-CN"/>
              </w:rPr>
              <w:t>前3S</w:t>
            </w:r>
          </w:p>
          <w:p w14:paraId="775031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  <w:lang w:val="en-US" w:eastAsia="zh-CN"/>
              </w:rPr>
              <w:t>管理</w:t>
            </w:r>
          </w:p>
        </w:tc>
        <w:tc>
          <w:tcPr>
            <w:tcW w:w="3192" w:type="dxa"/>
            <w:vAlign w:val="center"/>
          </w:tcPr>
          <w:p w14:paraId="22F905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60" w:leftChars="76" w:firstLine="0" w:firstLineChars="0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napToGrid w:val="0"/>
                <w:color w:val="auto"/>
                <w:spacing w:val="-4"/>
                <w:kern w:val="0"/>
                <w:sz w:val="16"/>
                <w:szCs w:val="16"/>
                <w:lang w:val="en-US" w:eastAsia="en-US" w:bidi="ar-SA"/>
              </w:rPr>
              <w:t>整理：工作中只保留必要的制度、资料、流程、设备、工具、物品等。</w:t>
            </w:r>
          </w:p>
        </w:tc>
        <w:tc>
          <w:tcPr>
            <w:tcW w:w="631" w:type="dxa"/>
            <w:vAlign w:val="center"/>
          </w:tcPr>
          <w:p w14:paraId="32F368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3E56E0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8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4426F1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1.未确定“要与不要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”的判定标准扣0～3 分</w:t>
            </w:r>
          </w:p>
          <w:p w14:paraId="7A186F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2.未明确责任分工，或覆盖度不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全面，存在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  <w:lang w:val="en-US" w:eastAsia="zh-CN"/>
              </w:rPr>
              <w:t>管理漏洞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0～3分</w:t>
            </w:r>
          </w:p>
          <w:p w14:paraId="6599D2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3" w:right="151" w:firstLine="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3.未明确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  <w:lang w:val="en-US" w:eastAsia="zh-CN"/>
              </w:rPr>
              <w:t>必要物的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用处、用法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使用频率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0～2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分</w:t>
            </w:r>
          </w:p>
        </w:tc>
        <w:tc>
          <w:tcPr>
            <w:tcW w:w="615" w:type="dxa"/>
            <w:vAlign w:val="center"/>
          </w:tcPr>
          <w:p w14:paraId="1536DF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55479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600DAF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038E2A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nil"/>
            </w:tcBorders>
            <w:vAlign w:val="center"/>
          </w:tcPr>
          <w:p w14:paraId="3E01BD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192" w:type="dxa"/>
            <w:vAlign w:val="center"/>
          </w:tcPr>
          <w:p w14:paraId="58CFDA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1" w:right="154" w:hanging="1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整顿：将整理后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的制度、资料、流程等分类管理(定内容、定人、定节点等）；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工作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场所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需要的设备、工具、物品予以定量、定点，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定容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lang w:val="en-US" w:eastAsia="zh-CN"/>
              </w:rPr>
              <w:t>加以规范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标识。</w:t>
            </w:r>
          </w:p>
        </w:tc>
        <w:tc>
          <w:tcPr>
            <w:tcW w:w="631" w:type="dxa"/>
            <w:vAlign w:val="center"/>
          </w:tcPr>
          <w:p w14:paraId="5E54420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8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41BEA2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1.未根据项目特点选择合适的要素进行“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  <w:lang w:val="en-US" w:eastAsia="zh-CN"/>
              </w:rPr>
              <w:t>三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”管理扣0～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3 分</w:t>
            </w:r>
          </w:p>
          <w:p w14:paraId="56555B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2.未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val="en-US" w:eastAsia="zh-CN"/>
              </w:rPr>
              <w:t>对制度资料流程明确分工或者未对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对物品进行显著标识，实施可视化管理扣0～3 分</w:t>
            </w:r>
          </w:p>
          <w:p w14:paraId="20927A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3.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lang w:val="en-US" w:eastAsia="zh-CN"/>
              </w:rPr>
              <w:t>未达到分类管理责任到人或者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定置标识未达到易见易取易还等效果扣0～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2分</w:t>
            </w:r>
          </w:p>
        </w:tc>
        <w:tc>
          <w:tcPr>
            <w:tcW w:w="615" w:type="dxa"/>
            <w:vAlign w:val="center"/>
          </w:tcPr>
          <w:p w14:paraId="2117A2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03E23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292646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641BD7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</w:tcBorders>
            <w:vAlign w:val="center"/>
          </w:tcPr>
          <w:p w14:paraId="26C0B1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192" w:type="dxa"/>
            <w:vAlign w:val="center"/>
          </w:tcPr>
          <w:p w14:paraId="0A8FD5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09" w:right="49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清洁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：将整理、整顿过的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制度资料流程进行优化完善，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对现场设备、工具、物品实施常规点检与维护保养，确保其始终处于完好、清洁、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并符合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eastAsia="zh-CN"/>
              </w:rPr>
              <w:t>医院感染控制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要求，并符合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eastAsia="zh-CN"/>
              </w:rPr>
              <w:t>医院感染控制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lang w:val="en-US" w:eastAsia="zh-CN"/>
              </w:rPr>
              <w:t>要求，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随时可用的待用状态。</w:t>
            </w:r>
          </w:p>
        </w:tc>
        <w:tc>
          <w:tcPr>
            <w:tcW w:w="631" w:type="dxa"/>
            <w:vAlign w:val="center"/>
          </w:tcPr>
          <w:p w14:paraId="4E0708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8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2F56B2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1.未建立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val="en-US" w:eastAsia="zh-CN"/>
              </w:rPr>
              <w:t>优化标准或者清洁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点检标准扣0～3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分</w:t>
            </w:r>
          </w:p>
          <w:p w14:paraId="673290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2.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val="en-US" w:eastAsia="zh-CN"/>
              </w:rPr>
              <w:t>制度资料流程不够优化；设备未在备用状态；物品清洁不到位，不符合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eastAsia="zh-CN"/>
              </w:rPr>
              <w:t>医院感染控制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val="en-US" w:eastAsia="zh-CN"/>
              </w:rPr>
              <w:t>要求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扣0～3分</w:t>
            </w:r>
          </w:p>
        </w:tc>
        <w:tc>
          <w:tcPr>
            <w:tcW w:w="615" w:type="dxa"/>
            <w:vAlign w:val="center"/>
          </w:tcPr>
          <w:p w14:paraId="7B5461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5FAC49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6C59E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6F3C7B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3821DF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18A056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  <w:lang w:val="en-US" w:eastAsia="zh-CN"/>
              </w:rPr>
              <w:t>标准</w:t>
            </w:r>
          </w:p>
          <w:p w14:paraId="535506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管理</w:t>
            </w:r>
          </w:p>
        </w:tc>
        <w:tc>
          <w:tcPr>
            <w:tcW w:w="3192" w:type="dxa"/>
            <w:vAlign w:val="center"/>
          </w:tcPr>
          <w:p w14:paraId="371422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60" w:leftChars="76" w:right="154" w:firstLine="0" w:firstLineChars="0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规范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在“整理、整顿、清洁”基础上，将优化后的制度与流程以正式文件形式固化发布；对设备、工具及物品实施标准化管理，同步建立长效督导机制，确保成果可维持、可追溯、可考核。</w:t>
            </w:r>
          </w:p>
        </w:tc>
        <w:tc>
          <w:tcPr>
            <w:tcW w:w="631" w:type="dxa"/>
            <w:vAlign w:val="center"/>
          </w:tcPr>
          <w:p w14:paraId="6998AA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275"/>
              <w:jc w:val="righ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3"/>
                <w:sz w:val="18"/>
                <w:szCs w:val="18"/>
              </w:rPr>
              <w:t>10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2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1BEAE9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75" w:right="116" w:hanging="15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1.未将“整理、整顿、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lang w:val="en-US" w:eastAsia="zh-CN"/>
              </w:rPr>
              <w:t>清洁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”的最佳做法制度化、标准化和规范化扣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0~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</w:rPr>
              <w:t>3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</w:rPr>
              <w:t>分</w:t>
            </w:r>
          </w:p>
          <w:p w14:paraId="6FFECF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2.未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 xml:space="preserve">制定 6S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lang w:val="en-US" w:eastAsia="zh-CN"/>
              </w:rPr>
              <w:t>督导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与激励制度等扣0～2分</w:t>
            </w:r>
          </w:p>
          <w:p w14:paraId="012951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75" w:right="116" w:hanging="160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3.未建立持续改进机制，通过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lang w:val="en-US" w:eastAsia="zh-CN"/>
              </w:rPr>
              <w:t>督查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对不易维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"/>
              </w:rPr>
              <w:t>持的成果开展改善扣0~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</w:rPr>
              <w:t>3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</w:rPr>
              <w:t>分</w:t>
            </w:r>
          </w:p>
          <w:p w14:paraId="7C8C57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74" w:right="116" w:hanging="16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</w:p>
        </w:tc>
        <w:tc>
          <w:tcPr>
            <w:tcW w:w="615" w:type="dxa"/>
            <w:vAlign w:val="center"/>
          </w:tcPr>
          <w:p w14:paraId="1E942A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74D9E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0CD709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511706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2EA03E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素养</w:t>
            </w:r>
          </w:p>
          <w:p w14:paraId="7AB9B1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管理</w:t>
            </w:r>
          </w:p>
        </w:tc>
        <w:tc>
          <w:tcPr>
            <w:tcW w:w="3192" w:type="dxa"/>
            <w:vAlign w:val="center"/>
          </w:tcPr>
          <w:p w14:paraId="4A7B05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09" w:right="154" w:firstLine="1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素养：通过宣贯培训，检查督导，全员形成 “按标准做事” 的职业习惯，有主动改善意识，培育“患者至上、精益求精”的职业文化</w:t>
            </w:r>
          </w:p>
        </w:tc>
        <w:tc>
          <w:tcPr>
            <w:tcW w:w="631" w:type="dxa"/>
            <w:vAlign w:val="center"/>
          </w:tcPr>
          <w:p w14:paraId="6DBDCF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50CAF0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8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65C1AC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73" w:right="151" w:hanging="150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1.未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对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相关规章制度，员工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  <w:lang w:val="en-US" w:eastAsia="zh-CN"/>
              </w:rPr>
              <w:t>语言行为规范，仪表着装、以及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礼仪开展教育培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训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，扣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0～4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分</w:t>
            </w:r>
          </w:p>
          <w:p w14:paraId="1FF9260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274" w:right="101" w:hanging="160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2.未组织开展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6S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</w:rPr>
              <w:t>宣传，采用多种手段激发员工的热情和责任感，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扣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</w:rPr>
              <w:t>0～4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分</w:t>
            </w:r>
          </w:p>
        </w:tc>
        <w:tc>
          <w:tcPr>
            <w:tcW w:w="615" w:type="dxa"/>
            <w:vAlign w:val="center"/>
          </w:tcPr>
          <w:p w14:paraId="2224F6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02A6A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430" w:type="dxa"/>
            <w:vMerge w:val="continue"/>
            <w:tcBorders>
              <w:top w:val="nil"/>
            </w:tcBorders>
            <w:vAlign w:val="center"/>
          </w:tcPr>
          <w:p w14:paraId="37D5DF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center"/>
          </w:tcPr>
          <w:p w14:paraId="03C7EC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758782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安全</w:t>
            </w:r>
          </w:p>
          <w:p w14:paraId="79E8C0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管理</w:t>
            </w:r>
          </w:p>
        </w:tc>
        <w:tc>
          <w:tcPr>
            <w:tcW w:w="3192" w:type="dxa"/>
            <w:vAlign w:val="center"/>
          </w:tcPr>
          <w:p w14:paraId="50EC66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09" w:right="154" w:firstLine="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安全：通过建立应急管理体系，常态化开展应急演练与安全巡查，系统识别并防范各类风险；从源头上排查并消除工作场所潜在安全隐患，有效预防安全事故的发生。</w:t>
            </w:r>
          </w:p>
        </w:tc>
        <w:tc>
          <w:tcPr>
            <w:tcW w:w="631" w:type="dxa"/>
            <w:vAlign w:val="center"/>
          </w:tcPr>
          <w:p w14:paraId="19A539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8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6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1D5058F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1.未系统开展安全隐患的排查及整改扣0～3分</w:t>
            </w:r>
          </w:p>
          <w:p w14:paraId="4A5B29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2.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  <w:lang w:val="en-US" w:eastAsia="zh-CN"/>
              </w:rPr>
              <w:t>设备设施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及环节安全状态存在隐患扣0～2分</w:t>
            </w:r>
          </w:p>
          <w:p w14:paraId="607717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3.工作及操作行为存在隐患扣0～3分</w:t>
            </w:r>
          </w:p>
        </w:tc>
        <w:tc>
          <w:tcPr>
            <w:tcW w:w="615" w:type="dxa"/>
            <w:vAlign w:val="center"/>
          </w:tcPr>
          <w:p w14:paraId="4D4C20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0BE78C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30" w:type="dxa"/>
            <w:vMerge w:val="restart"/>
            <w:tcBorders>
              <w:bottom w:val="nil"/>
            </w:tcBorders>
            <w:vAlign w:val="center"/>
          </w:tcPr>
          <w:p w14:paraId="006C1A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4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center"/>
          </w:tcPr>
          <w:p w14:paraId="7703FF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</w:pPr>
          </w:p>
          <w:p w14:paraId="7E6059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0"/>
                <w:sz w:val="22"/>
                <w:szCs w:val="22"/>
              </w:rPr>
              <w:t>效果</w:t>
            </w:r>
          </w:p>
          <w:p w14:paraId="2B071F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1"/>
                <w:sz w:val="22"/>
                <w:szCs w:val="22"/>
              </w:rPr>
              <w:t>评价</w:t>
            </w:r>
          </w:p>
          <w:p w14:paraId="7172C39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 w:right="106" w:firstLine="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4"/>
                <w:sz w:val="22"/>
                <w:szCs w:val="22"/>
              </w:rPr>
              <w:t>与维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持</w:t>
            </w:r>
          </w:p>
          <w:p w14:paraId="2DB4F2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(20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6"/>
                <w:sz w:val="14"/>
                <w:szCs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4"/>
                <w:szCs w:val="14"/>
              </w:rPr>
              <w:t>分)</w:t>
            </w:r>
          </w:p>
        </w:tc>
        <w:tc>
          <w:tcPr>
            <w:tcW w:w="580" w:type="dxa"/>
            <w:vAlign w:val="center"/>
          </w:tcPr>
          <w:p w14:paraId="450B0A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9"/>
                <w:sz w:val="18"/>
                <w:szCs w:val="18"/>
              </w:rPr>
              <w:t>改善</w:t>
            </w:r>
          </w:p>
          <w:p w14:paraId="3299DB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jc w:val="both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效果</w:t>
            </w:r>
          </w:p>
        </w:tc>
        <w:tc>
          <w:tcPr>
            <w:tcW w:w="3192" w:type="dxa"/>
            <w:vAlign w:val="center"/>
          </w:tcPr>
          <w:p w14:paraId="6B7A37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改善效果是否达到预期目标。</w:t>
            </w:r>
          </w:p>
        </w:tc>
        <w:tc>
          <w:tcPr>
            <w:tcW w:w="631" w:type="dxa"/>
            <w:vAlign w:val="center"/>
          </w:tcPr>
          <w:p w14:paraId="148E48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2A2C8C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3"/>
              </w:rPr>
              <w:t>改善效果未达到预期目标扣0～5分</w:t>
            </w:r>
          </w:p>
        </w:tc>
        <w:tc>
          <w:tcPr>
            <w:tcW w:w="615" w:type="dxa"/>
            <w:vAlign w:val="center"/>
          </w:tcPr>
          <w:p w14:paraId="74144B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4535D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7633A8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20EF6C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6371E3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3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sz w:val="18"/>
                <w:szCs w:val="18"/>
              </w:rPr>
              <w:t>维持性</w:t>
            </w:r>
          </w:p>
        </w:tc>
        <w:tc>
          <w:tcPr>
            <w:tcW w:w="3192" w:type="dxa"/>
            <w:vAlign w:val="center"/>
          </w:tcPr>
          <w:p w14:paraId="312DCC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项目改善效果的可持续性情况。</w:t>
            </w:r>
          </w:p>
        </w:tc>
        <w:tc>
          <w:tcPr>
            <w:tcW w:w="631" w:type="dxa"/>
            <w:vAlign w:val="center"/>
          </w:tcPr>
          <w:p w14:paraId="7690F3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0767F4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3"/>
              </w:rPr>
              <w:t>根据项目的维持性效果给分0～5分</w:t>
            </w:r>
          </w:p>
        </w:tc>
        <w:tc>
          <w:tcPr>
            <w:tcW w:w="615" w:type="dxa"/>
            <w:vAlign w:val="center"/>
          </w:tcPr>
          <w:p w14:paraId="622DB3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4DE24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11EA00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0C12CD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1F633B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8"/>
                <w:szCs w:val="18"/>
              </w:rPr>
              <w:t>创新性</w:t>
            </w:r>
          </w:p>
        </w:tc>
        <w:tc>
          <w:tcPr>
            <w:tcW w:w="3192" w:type="dxa"/>
            <w:vAlign w:val="center"/>
          </w:tcPr>
          <w:p w14:paraId="55108C3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改善实践的创新性和原创性。</w:t>
            </w:r>
          </w:p>
        </w:tc>
        <w:tc>
          <w:tcPr>
            <w:tcW w:w="631" w:type="dxa"/>
            <w:vAlign w:val="center"/>
          </w:tcPr>
          <w:p w14:paraId="5C5D96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129E2B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根据项目的创新性给分0～5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"/>
              </w:rPr>
              <w:t>分</w:t>
            </w:r>
          </w:p>
        </w:tc>
        <w:tc>
          <w:tcPr>
            <w:tcW w:w="615" w:type="dxa"/>
            <w:vAlign w:val="center"/>
          </w:tcPr>
          <w:p w14:paraId="27AA00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00AD5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30" w:type="dxa"/>
            <w:vMerge w:val="continue"/>
            <w:tcBorders>
              <w:top w:val="nil"/>
            </w:tcBorders>
            <w:vAlign w:val="center"/>
          </w:tcPr>
          <w:p w14:paraId="10853D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center"/>
          </w:tcPr>
          <w:p w14:paraId="6D5A8C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5ED02F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4"/>
                <w:sz w:val="18"/>
                <w:szCs w:val="18"/>
              </w:rPr>
              <w:t>推广性</w:t>
            </w:r>
          </w:p>
        </w:tc>
        <w:tc>
          <w:tcPr>
            <w:tcW w:w="3192" w:type="dxa"/>
            <w:vAlign w:val="center"/>
          </w:tcPr>
          <w:p w14:paraId="25F914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项目措施的标准化与推广价值。</w:t>
            </w:r>
          </w:p>
        </w:tc>
        <w:tc>
          <w:tcPr>
            <w:tcW w:w="631" w:type="dxa"/>
            <w:vAlign w:val="center"/>
          </w:tcPr>
          <w:p w14:paraId="432187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7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8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46477E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"/>
              </w:rPr>
              <w:t>根据改善措施的标准化和可推广性给分0～5分</w:t>
            </w:r>
          </w:p>
        </w:tc>
        <w:tc>
          <w:tcPr>
            <w:tcW w:w="615" w:type="dxa"/>
            <w:vAlign w:val="center"/>
          </w:tcPr>
          <w:p w14:paraId="3D9919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71C07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430" w:type="dxa"/>
            <w:vMerge w:val="restart"/>
            <w:tcBorders>
              <w:bottom w:val="nil"/>
            </w:tcBorders>
            <w:vAlign w:val="center"/>
          </w:tcPr>
          <w:p w14:paraId="5C2D19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  <w:p w14:paraId="53AD8D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9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  <w:sz w:val="22"/>
                <w:szCs w:val="22"/>
              </w:rPr>
              <w:t>5</w:t>
            </w:r>
          </w:p>
        </w:tc>
        <w:tc>
          <w:tcPr>
            <w:tcW w:w="703" w:type="dxa"/>
            <w:vMerge w:val="restart"/>
            <w:tcBorders>
              <w:bottom w:val="nil"/>
            </w:tcBorders>
            <w:vAlign w:val="center"/>
          </w:tcPr>
          <w:p w14:paraId="645FB3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9"/>
                <w:sz w:val="22"/>
                <w:szCs w:val="22"/>
              </w:rPr>
            </w:pPr>
          </w:p>
          <w:p w14:paraId="6F478D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4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9"/>
                <w:sz w:val="22"/>
                <w:szCs w:val="22"/>
              </w:rPr>
              <w:t>现场</w:t>
            </w:r>
          </w:p>
          <w:p w14:paraId="0E6C1C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22"/>
                <w:sz w:val="22"/>
                <w:szCs w:val="22"/>
              </w:rPr>
              <w:t>表现</w:t>
            </w:r>
          </w:p>
          <w:p w14:paraId="668645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35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sz w:val="14"/>
                <w:szCs w:val="14"/>
              </w:rPr>
              <w:t>(5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7"/>
                <w:sz w:val="14"/>
                <w:szCs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5"/>
                <w:sz w:val="14"/>
                <w:szCs w:val="14"/>
              </w:rPr>
              <w:t>分)</w:t>
            </w:r>
          </w:p>
        </w:tc>
        <w:tc>
          <w:tcPr>
            <w:tcW w:w="3772" w:type="dxa"/>
            <w:gridSpan w:val="2"/>
            <w:vAlign w:val="center"/>
          </w:tcPr>
          <w:p w14:paraId="54DCAD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 w:right="61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0"/>
              </w:rPr>
              <w:t>发表资料内容完整、层次分明，系统性、逻辑性强，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1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前后连贯。</w:t>
            </w:r>
          </w:p>
        </w:tc>
        <w:tc>
          <w:tcPr>
            <w:tcW w:w="631" w:type="dxa"/>
            <w:vAlign w:val="center"/>
          </w:tcPr>
          <w:p w14:paraId="372426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566204A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根据项目前后连贯逻辑性扣 0～2分</w:t>
            </w:r>
          </w:p>
        </w:tc>
        <w:tc>
          <w:tcPr>
            <w:tcW w:w="615" w:type="dxa"/>
            <w:vAlign w:val="center"/>
          </w:tcPr>
          <w:p w14:paraId="26E987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6E823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30" w:type="dxa"/>
            <w:vMerge w:val="continue"/>
            <w:tcBorders>
              <w:top w:val="nil"/>
              <w:bottom w:val="nil"/>
            </w:tcBorders>
            <w:vAlign w:val="center"/>
          </w:tcPr>
          <w:p w14:paraId="3DAF01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  <w:bottom w:val="nil"/>
            </w:tcBorders>
            <w:vAlign w:val="center"/>
          </w:tcPr>
          <w:p w14:paraId="7678CF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1E0620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2"/>
              </w:rPr>
              <w:t>发表资料以图表、数据为主，通俗易懂。</w:t>
            </w:r>
          </w:p>
        </w:tc>
        <w:tc>
          <w:tcPr>
            <w:tcW w:w="631" w:type="dxa"/>
            <w:vAlign w:val="center"/>
          </w:tcPr>
          <w:p w14:paraId="5AF18E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5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7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179850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根据项目文字材料制作水平扣 0～2分</w:t>
            </w:r>
          </w:p>
        </w:tc>
        <w:tc>
          <w:tcPr>
            <w:tcW w:w="615" w:type="dxa"/>
            <w:vAlign w:val="center"/>
          </w:tcPr>
          <w:p w14:paraId="4B3F8E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4600C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430" w:type="dxa"/>
            <w:vMerge w:val="continue"/>
            <w:tcBorders>
              <w:top w:val="nil"/>
            </w:tcBorders>
            <w:vAlign w:val="center"/>
          </w:tcPr>
          <w:p w14:paraId="6C3C0A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703" w:type="dxa"/>
            <w:vMerge w:val="continue"/>
            <w:tcBorders>
              <w:top w:val="nil"/>
            </w:tcBorders>
            <w:vAlign w:val="center"/>
          </w:tcPr>
          <w:p w14:paraId="1A97B0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52E4FC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 w:right="49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9"/>
              </w:rPr>
              <w:t>发表时从容大方，条理清晰，内容完整，表述清楚、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"/>
              </w:rPr>
              <w:t>简要，时间把控适宜。</w:t>
            </w:r>
          </w:p>
        </w:tc>
        <w:tc>
          <w:tcPr>
            <w:tcW w:w="631" w:type="dxa"/>
            <w:vAlign w:val="center"/>
          </w:tcPr>
          <w:p w14:paraId="3DBFB2E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26"/>
              <w:jc w:val="lef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3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36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13"/>
                <w:sz w:val="18"/>
                <w:szCs w:val="18"/>
              </w:rPr>
              <w:t>分</w:t>
            </w:r>
          </w:p>
        </w:tc>
        <w:tc>
          <w:tcPr>
            <w:tcW w:w="4940" w:type="dxa"/>
            <w:vAlign w:val="center"/>
          </w:tcPr>
          <w:p w14:paraId="236B7A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2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</w:rPr>
              <w:t>根据汇报者仪表、表述、时间把控等扣 0～1分</w:t>
            </w:r>
          </w:p>
        </w:tc>
        <w:tc>
          <w:tcPr>
            <w:tcW w:w="615" w:type="dxa"/>
            <w:vAlign w:val="center"/>
          </w:tcPr>
          <w:p w14:paraId="43105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  <w:tr w14:paraId="1FB85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133" w:type="dxa"/>
            <w:gridSpan w:val="2"/>
            <w:vAlign w:val="center"/>
          </w:tcPr>
          <w:p w14:paraId="6D8C9B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116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pacing w:val="-7"/>
                <w:sz w:val="22"/>
                <w:szCs w:val="22"/>
              </w:rPr>
              <w:t>合计</w:t>
            </w:r>
          </w:p>
        </w:tc>
        <w:tc>
          <w:tcPr>
            <w:tcW w:w="9958" w:type="dxa"/>
            <w:gridSpan w:val="5"/>
            <w:vAlign w:val="center"/>
          </w:tcPr>
          <w:p w14:paraId="3F52BE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</w:rPr>
            </w:pPr>
          </w:p>
        </w:tc>
      </w:tr>
    </w:tbl>
    <w:p w14:paraId="65098E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firstLine="630" w:firstLineChars="30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lang w:val="en-US" w:eastAsia="zh-CN"/>
        </w:rPr>
        <w:t>备注：6S精益管理是指“整理sort、整顿straighten、清洁sweep、规范standard、素养sustain、安全safety”六要素。</w:t>
      </w:r>
    </w:p>
    <w:p w14:paraId="5A2FBAD5">
      <w:pPr>
        <w:ind w:firstLine="630" w:firstLineChars="300"/>
        <w:rPr>
          <w:rFonts w:hint="eastAsia" w:ascii="宋体" w:hAnsi="宋体" w:eastAsia="宋体" w:cs="宋体"/>
          <w:b w:val="0"/>
          <w:bCs w:val="0"/>
          <w:color w:val="auto"/>
          <w:sz w:val="21"/>
          <w:lang w:val="en-US" w:eastAsia="zh-CN"/>
        </w:rPr>
      </w:pPr>
    </w:p>
    <w:p w14:paraId="10030402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3D446C83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  <w:bookmarkStart w:id="0" w:name="_GoBack"/>
      <w:bookmarkEnd w:id="0"/>
    </w:p>
    <w:p w14:paraId="2DBED7B9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2BC89CD3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5FDCBE3D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6F487E64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050BDBA0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58F536CA">
      <w:pPr>
        <w:jc w:val="center"/>
        <w:rPr>
          <w:rFonts w:hint="eastAsia" w:ascii="微软雅黑" w:hAnsi="微软雅黑" w:eastAsia="微软雅黑" w:cs="微软雅黑"/>
          <w:b/>
          <w:bCs/>
          <w:color w:val="376092" w:themeColor="accent1" w:themeShade="BF"/>
          <w:sz w:val="56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376092" w:themeColor="accent1" w:themeShade="BF"/>
          <w:sz w:val="32"/>
          <w:szCs w:val="32"/>
          <w:lang w:val="en-US" w:eastAsia="zh-CN"/>
        </w:rPr>
        <w:t>评分规则</w:t>
      </w:r>
    </w:p>
    <w:p w14:paraId="3007D264">
      <w:pPr>
        <w:ind w:firstLine="400" w:firstLineChars="200"/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</w:pPr>
    </w:p>
    <w:p w14:paraId="37C543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40" w:firstLineChars="6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每位选手需在8分钟内完成案例汇报，超时扣分，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扣分另计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05FA8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超时时长扣分分值说明：</w:t>
      </w:r>
    </w:p>
    <w:p w14:paraId="4FAA4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超0-15秒（含） 扣1分</w:t>
      </w:r>
    </w:p>
    <w:p w14:paraId="41AAC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超15-30秒（含）扣3分</w:t>
      </w:r>
    </w:p>
    <w:p w14:paraId="548A2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超30-60秒（含）扣5分</w:t>
      </w:r>
    </w:p>
    <w:p w14:paraId="62BA8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80" w:firstLineChars="7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超过60秒直接取消晋级资格，不再进入评分环节。</w:t>
      </w:r>
    </w:p>
    <w:p w14:paraId="67EF14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440" w:firstLineChars="6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评委独立给分。不符合要求者适当扣分，最终得分保留小数点后一位;</w:t>
      </w:r>
    </w:p>
    <w:p w14:paraId="269A91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440" w:firstLineChars="6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本项目产生的专利，1项加1分，最多不超过3分，加分另计;</w:t>
      </w:r>
    </w:p>
    <w:p w14:paraId="00D969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440" w:firstLineChars="6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评分等级：</w:t>
      </w:r>
    </w:p>
    <w:p w14:paraId="5C695D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60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80～84 分：优秀</w:t>
      </w:r>
    </w:p>
    <w:p w14:paraId="72839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60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85～89 分：示范</w:t>
      </w:r>
    </w:p>
    <w:p w14:paraId="4A62A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60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90 分及以上：卓越</w:t>
      </w:r>
    </w:p>
    <w:p w14:paraId="02AEF0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1440" w:firstLineChars="6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最终得分 = 评委内容评分均分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+专利加分-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超时扣分。</w:t>
      </w:r>
    </w:p>
    <w:p w14:paraId="1ED5AA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10" w:firstLineChars="100"/>
        <w:textAlignment w:val="auto"/>
        <w:rPr>
          <w:rFonts w:hint="eastAsia" w:ascii="微软雅黑" w:hAnsi="微软雅黑" w:eastAsia="微软雅黑" w:cs="微软雅黑"/>
          <w:sz w:val="21"/>
          <w:szCs w:val="24"/>
          <w:lang w:eastAsia="zh-CN"/>
        </w:rPr>
      </w:pPr>
    </w:p>
    <w:p w14:paraId="0D180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0" w:firstLineChars="100"/>
        <w:textAlignment w:val="auto"/>
        <w:rPr>
          <w:rFonts w:hint="eastAsia" w:eastAsiaTheme="minorEastAsia"/>
          <w:sz w:val="22"/>
          <w:szCs w:val="28"/>
          <w:lang w:eastAsia="zh-CN"/>
        </w:rPr>
      </w:pPr>
    </w:p>
    <w:p w14:paraId="6A5E1A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0" w:firstLineChars="100"/>
        <w:textAlignment w:val="auto"/>
        <w:rPr>
          <w:rFonts w:hint="eastAsia" w:eastAsiaTheme="minorEastAsia"/>
          <w:sz w:val="22"/>
          <w:szCs w:val="28"/>
          <w:lang w:eastAsia="zh-CN"/>
        </w:rPr>
      </w:pPr>
    </w:p>
    <w:p w14:paraId="63A7A5FC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4A63D802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257C5571">
      <w:pPr>
        <w:ind w:firstLine="632" w:firstLineChars="300"/>
        <w:rPr>
          <w:rFonts w:hint="eastAsia" w:ascii="宋体" w:hAnsi="宋体" w:eastAsia="宋体" w:cs="宋体"/>
          <w:b/>
          <w:bCs/>
          <w:color w:val="auto"/>
          <w:sz w:val="21"/>
          <w:lang w:val="en-US" w:eastAsia="zh-CN"/>
        </w:rPr>
      </w:pPr>
    </w:p>
    <w:p w14:paraId="33BED4B3">
      <w:pPr>
        <w:ind w:firstLine="632" w:firstLineChars="300"/>
        <w:rPr>
          <w:rFonts w:hint="default" w:ascii="宋体" w:hAnsi="宋体" w:eastAsia="宋体" w:cs="宋体"/>
          <w:b/>
          <w:bCs/>
          <w:color w:val="auto"/>
          <w:sz w:val="21"/>
          <w:lang w:val="en-US" w:eastAsia="zh-CN"/>
        </w:rPr>
      </w:pPr>
    </w:p>
    <w:sectPr>
      <w:headerReference r:id="rId5" w:type="default"/>
      <w:pgSz w:w="11906" w:h="16839"/>
      <w:pgMar w:top="40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6EBA9F3-8CE6-45AB-937B-3166A694AF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93498BE-90F6-4463-A1DB-C7041596752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24528">
    <w:pPr>
      <w:spacing w:line="14" w:lineRule="auto"/>
      <w:rPr>
        <w:rFonts w:ascii="Arial"/>
        <w:sz w:val="2"/>
      </w:rPr>
    </w:pPr>
    <w:r>
      <w:rPr>
        <w:sz w:val="2"/>
      </w:rPr>
      <w:pict>
        <v:shape id="PowerPlusWaterMarkObject162154" o:spid="_x0000_s4097" o:spt="136" type="#_x0000_t136" style="position:absolute;left:0pt;height:48.3pt;width:338.15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中国医院6S管理联盟" style="font-family:微软雅黑;font-size:48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1C760F"/>
    <w:multiLevelType w:val="singleLevel"/>
    <w:tmpl w:val="1B1C760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374276"/>
    <w:rsid w:val="028B36A9"/>
    <w:rsid w:val="03A013D6"/>
    <w:rsid w:val="03D5535C"/>
    <w:rsid w:val="07921036"/>
    <w:rsid w:val="0A6C0264"/>
    <w:rsid w:val="0BF16C73"/>
    <w:rsid w:val="101051ED"/>
    <w:rsid w:val="175956CC"/>
    <w:rsid w:val="182E0C0E"/>
    <w:rsid w:val="1966244D"/>
    <w:rsid w:val="196A6C1C"/>
    <w:rsid w:val="1B4E2B3D"/>
    <w:rsid w:val="1D225018"/>
    <w:rsid w:val="1F3233D2"/>
    <w:rsid w:val="24A0493A"/>
    <w:rsid w:val="2504633D"/>
    <w:rsid w:val="26EF5379"/>
    <w:rsid w:val="346175E9"/>
    <w:rsid w:val="34EE16F2"/>
    <w:rsid w:val="39CA1A55"/>
    <w:rsid w:val="39FE4185"/>
    <w:rsid w:val="3B2A4F9E"/>
    <w:rsid w:val="45DD7344"/>
    <w:rsid w:val="48661F38"/>
    <w:rsid w:val="4A0F3502"/>
    <w:rsid w:val="4A8649B5"/>
    <w:rsid w:val="52FD091A"/>
    <w:rsid w:val="5C1D0043"/>
    <w:rsid w:val="629D7100"/>
    <w:rsid w:val="64CB79C8"/>
    <w:rsid w:val="6543539D"/>
    <w:rsid w:val="6C6C4B57"/>
    <w:rsid w:val="6DEA61F3"/>
    <w:rsid w:val="6F062BB9"/>
    <w:rsid w:val="6FD8191A"/>
    <w:rsid w:val="70381498"/>
    <w:rsid w:val="75B23A9A"/>
    <w:rsid w:val="76A9502C"/>
    <w:rsid w:val="77E960A8"/>
    <w:rsid w:val="79AB5945"/>
    <w:rsid w:val="7A152979"/>
    <w:rsid w:val="7C887303"/>
    <w:rsid w:val="7ECD72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1961</Words>
  <Characters>2063</Characters>
  <TotalTime>21</TotalTime>
  <ScaleCrop>false</ScaleCrop>
  <LinksUpToDate>false</LinksUpToDate>
  <CharactersWithSpaces>2154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2025-08-18T14:55:00Z</dcterms:created>
  <dc:creator>欣 张</dc:creator>
  <cp:lastModifiedBy>Iris</cp:lastModifiedBy>
  <cp:lastPrinted>2026-08-12T09:12:00Z</cp:lastPrinted>
  <dcterms:modified xsi:type="dcterms:W3CDTF">2026-09-27T07:56:16Z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2025-10-10T12:17:22Z</vt:filetime>
  </property>
  <property fmtid="{D5CDD505-2E9C-101B-9397-08002B2CF9AE}" pid="4" name="KSOTemplateDocerSaveRecord">
    <vt:lpwstr>eyJoZGlkIjoiNzUxNzUxYWE0ZmJhNGQ5ZDE2MTFhOThiY2MxNThjNjMiLCJ1c2VySWQiOiI1MTE4MTk1MzcifQ==</vt:lpwstr>
  </property>
  <property fmtid="{D5CDD505-2E9C-101B-9397-08002B2CF9AE}" pid="5" name="KSOProductBuildVer">
    <vt:lpwstr>2052-12.1.0.22215</vt:lpwstr>
  </property>
  <property fmtid="{D5CDD505-2E9C-101B-9397-08002B2CF9AE}" pid="6" name="ICV">
    <vt:lpwstr>A2DB83D4D1264AA598D1A70B36E843EF_13</vt:lpwstr>
  </property>
</Properties>
</file>